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F2" w:rsidRDefault="000524F2" w:rsidP="00C56DBB">
      <w:pPr>
        <w:numPr>
          <w:ilvl w:val="0"/>
          <w:numId w:val="5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Medical assessment tribunals are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Workers’ Compensation and Rehabilitation Act 2003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A4114">
        <w:rPr>
          <w:rFonts w:ascii="Arial" w:hAnsi="Arial" w:cs="Arial"/>
          <w:bCs/>
          <w:spacing w:val="-3"/>
          <w:sz w:val="22"/>
          <w:szCs w:val="22"/>
        </w:rPr>
        <w:t xml:space="preserve">(the Act) </w:t>
      </w:r>
      <w:r>
        <w:rPr>
          <w:rFonts w:ascii="Arial" w:hAnsi="Arial" w:cs="Arial"/>
          <w:bCs/>
          <w:spacing w:val="-3"/>
          <w:sz w:val="22"/>
          <w:szCs w:val="22"/>
        </w:rPr>
        <w:t>to provide an independent system of medical review and assessment of injury and impairment sustained by workers.</w:t>
      </w:r>
    </w:p>
    <w:p w:rsidR="00BA4114" w:rsidRPr="00BA4114" w:rsidRDefault="00BA4114" w:rsidP="00BA4114">
      <w:pPr>
        <w:numPr>
          <w:ilvl w:val="0"/>
          <w:numId w:val="5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4114">
        <w:rPr>
          <w:rFonts w:ascii="Arial" w:hAnsi="Arial" w:cs="Arial"/>
          <w:bCs/>
          <w:spacing w:val="-3"/>
          <w:sz w:val="22"/>
          <w:szCs w:val="22"/>
        </w:rPr>
        <w:t xml:space="preserve">The Act provides for seven specialty medical tribunals in cardiology, dermatology, neurology/neurosurgery, ophthalmology, orthopaedics, otolaryngology and plastic surgery as well as the General Medical Assessment Tribunal which comprises doctors from a range of other specialties. </w:t>
      </w:r>
    </w:p>
    <w:p w:rsidR="00BA4114" w:rsidRPr="00BA4114" w:rsidRDefault="00BA4114" w:rsidP="00BA4114">
      <w:pPr>
        <w:numPr>
          <w:ilvl w:val="0"/>
          <w:numId w:val="5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4114">
        <w:rPr>
          <w:rFonts w:ascii="Arial" w:hAnsi="Arial" w:cs="Arial"/>
          <w:bCs/>
          <w:spacing w:val="-3"/>
          <w:sz w:val="22"/>
          <w:szCs w:val="22"/>
        </w:rPr>
        <w:t xml:space="preserve">In addition, a Composite Medical Assessment Tribunal may be convened in circumstances where there are multiple interrelated injuries that require several specialist assessments. A composite tribunal must consist of at least one specialist for each type of injury being assessed. All appointees to a panel for a specific tribunal are concurrently appointed to the panel for composite medical assessment tribunals. </w:t>
      </w:r>
    </w:p>
    <w:p w:rsidR="00BA4114" w:rsidRPr="003655E0" w:rsidRDefault="000524F2" w:rsidP="00251240">
      <w:pPr>
        <w:numPr>
          <w:ilvl w:val="0"/>
          <w:numId w:val="5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4114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A57D7C">
        <w:rPr>
          <w:rFonts w:ascii="Arial" w:hAnsi="Arial" w:cs="Arial"/>
          <w:sz w:val="22"/>
          <w:szCs w:val="22"/>
        </w:rPr>
        <w:t xml:space="preserve">that the nominees below be recommended to </w:t>
      </w:r>
      <w:r>
        <w:rPr>
          <w:rFonts w:ascii="Arial" w:hAnsi="Arial" w:cs="Arial"/>
          <w:sz w:val="22"/>
          <w:szCs w:val="22"/>
        </w:rPr>
        <w:t xml:space="preserve">the Governor in Council </w:t>
      </w:r>
      <w:r w:rsidR="00A57D7C">
        <w:rPr>
          <w:rFonts w:ascii="Arial" w:hAnsi="Arial" w:cs="Arial"/>
          <w:sz w:val="22"/>
          <w:szCs w:val="22"/>
        </w:rPr>
        <w:t xml:space="preserve">for appointment </w:t>
      </w:r>
      <w:r>
        <w:rPr>
          <w:rFonts w:ascii="Arial" w:hAnsi="Arial" w:cs="Arial"/>
          <w:sz w:val="22"/>
          <w:szCs w:val="22"/>
        </w:rPr>
        <w:t xml:space="preserve">by gazette notice to the panel of doctors for designation to the specialty medical assessment tribunals for a </w:t>
      </w:r>
      <w:r w:rsidR="00A57D7C">
        <w:rPr>
          <w:rFonts w:ascii="Arial" w:hAnsi="Arial" w:cs="Arial"/>
          <w:sz w:val="22"/>
          <w:szCs w:val="22"/>
        </w:rPr>
        <w:t xml:space="preserve">term of </w:t>
      </w:r>
      <w:r>
        <w:rPr>
          <w:rFonts w:ascii="Arial" w:hAnsi="Arial" w:cs="Arial"/>
          <w:sz w:val="22"/>
          <w:szCs w:val="22"/>
        </w:rPr>
        <w:t xml:space="preserve">three year term commencing </w:t>
      </w:r>
      <w:r w:rsidR="00A57D7C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1 July 2016</w:t>
      </w:r>
      <w:r w:rsidR="00A57D7C">
        <w:rPr>
          <w:rFonts w:ascii="Arial" w:hAnsi="Arial" w:cs="Arial"/>
          <w:sz w:val="22"/>
          <w:szCs w:val="22"/>
        </w:rPr>
        <w:t>.</w:t>
      </w:r>
    </w:p>
    <w:p w:rsidR="009A2B87" w:rsidRDefault="009A2B87" w:rsidP="00BB3045">
      <w:pPr>
        <w:numPr>
          <w:ilvl w:val="0"/>
          <w:numId w:val="5"/>
        </w:numPr>
        <w:tabs>
          <w:tab w:val="num" w:pos="360"/>
        </w:tabs>
        <w:spacing w:before="240" w:after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C56DBB">
        <w:rPr>
          <w:rFonts w:ascii="Arial" w:hAnsi="Arial" w:cs="Arial"/>
          <w:sz w:val="22"/>
          <w:szCs w:val="22"/>
        </w:rPr>
        <w:t xml:space="preserve"> that the</w:t>
      </w:r>
      <w:r>
        <w:rPr>
          <w:rFonts w:ascii="Arial" w:hAnsi="Arial" w:cs="Arial"/>
          <w:sz w:val="22"/>
          <w:szCs w:val="22"/>
        </w:rPr>
        <w:t xml:space="preserve"> nominees for appointment to panels for designation to the specialty tribunals </w:t>
      </w:r>
      <w:r w:rsidR="00C56DBB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be concurrently nominated for appointment to the panel of doctors for designation to the composite medical assessment tribunal.</w:t>
      </w:r>
    </w:p>
    <w:p w:rsidR="00677A9C" w:rsidRDefault="00677A9C" w:rsidP="00251240">
      <w:pPr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  <w:sectPr w:rsidR="00677A9C" w:rsidSect="001674BE"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4681" w:type="dxa"/>
        <w:tblInd w:w="422" w:type="dxa"/>
        <w:tblLook w:val="0000" w:firstRow="0" w:lastRow="0" w:firstColumn="0" w:lastColumn="0" w:noHBand="0" w:noVBand="0"/>
      </w:tblPr>
      <w:tblGrid>
        <w:gridCol w:w="2238"/>
        <w:gridCol w:w="2443"/>
      </w:tblGrid>
      <w:tr w:rsidR="00677A9C" w:rsidRPr="00955445" w:rsidTr="00383055">
        <w:trPr>
          <w:cantSplit/>
          <w:tblHeader/>
        </w:trPr>
        <w:tc>
          <w:tcPr>
            <w:tcW w:w="2238" w:type="dxa"/>
          </w:tcPr>
          <w:p w:rsidR="00677A9C" w:rsidRPr="00677A9C" w:rsidRDefault="00677A9C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u w:val="single"/>
              </w:rPr>
            </w:pPr>
            <w:r w:rsidRPr="00677A9C">
              <w:rPr>
                <w:rFonts w:ascii="Arial" w:hAnsi="Arial" w:cs="Arial"/>
                <w:sz w:val="20"/>
                <w:u w:val="single"/>
              </w:rPr>
              <w:t>Name</w:t>
            </w:r>
          </w:p>
        </w:tc>
        <w:tc>
          <w:tcPr>
            <w:tcW w:w="2443" w:type="dxa"/>
          </w:tcPr>
          <w:p w:rsidR="00677A9C" w:rsidRPr="00677A9C" w:rsidRDefault="00677A9C" w:rsidP="00251240">
            <w:pPr>
              <w:rPr>
                <w:rFonts w:ascii="Arial" w:hAnsi="Arial" w:cs="Arial"/>
                <w:sz w:val="20"/>
                <w:u w:val="single"/>
              </w:rPr>
            </w:pPr>
            <w:r w:rsidRPr="00677A9C">
              <w:rPr>
                <w:rFonts w:ascii="Arial" w:hAnsi="Arial" w:cs="Arial"/>
                <w:sz w:val="20"/>
                <w:u w:val="single"/>
              </w:rPr>
              <w:t>Position, Board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BB3045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Kenneth Hossack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spacing w:before="120"/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Chair, Cardiology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Roger Wilkinson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Cardiology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Stanley Woodhouse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Cardiology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David Colquhoun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Cardiology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Wicks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Cardiology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Sugeet Baveja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 Cardiology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BB3045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James Muir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spacing w:before="120"/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Chair, Dermatology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Terence Casey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Dermatology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Perry Wilson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Dermatology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Michael Pitney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Dermatology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DC6D8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Louise Andrews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Dermatology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BB3045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Michael Lanigan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spacing w:before="120"/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Chair, Disfigurement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Paul Belt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Disfigurement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William Cockburn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Disfigurement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Dilipkumar Gahankari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Disfigurement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Shireen Senewiratne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Disfigurement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BB3045">
            <w:pPr>
              <w:keepNext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Robert Black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keepNext/>
              <w:spacing w:before="120"/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Chair, Ear, Nose </w:t>
            </w:r>
            <w:r w:rsidR="00BB3045">
              <w:rPr>
                <w:rFonts w:ascii="Arial" w:hAnsi="Arial" w:cs="Arial"/>
                <w:sz w:val="20"/>
              </w:rPr>
              <w:t>&amp;</w:t>
            </w:r>
            <w:r w:rsidRPr="00677A9C">
              <w:rPr>
                <w:rFonts w:ascii="Arial" w:hAnsi="Arial" w:cs="Arial"/>
                <w:sz w:val="20"/>
              </w:rPr>
              <w:t xml:space="preserve"> Throat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Frank Anning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Deputy Chair, Ear, Nose </w:t>
            </w:r>
            <w:r w:rsidR="00BB3045">
              <w:rPr>
                <w:rFonts w:ascii="Arial" w:hAnsi="Arial" w:cs="Arial"/>
                <w:sz w:val="20"/>
              </w:rPr>
              <w:t>&amp;</w:t>
            </w:r>
            <w:r w:rsidRPr="00677A9C">
              <w:rPr>
                <w:rFonts w:ascii="Arial" w:hAnsi="Arial" w:cs="Arial"/>
                <w:sz w:val="20"/>
              </w:rPr>
              <w:t xml:space="preserve"> Throat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Russell Bird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Deputy Chair, Ear, Nose </w:t>
            </w:r>
            <w:r w:rsidR="00BB3045">
              <w:rPr>
                <w:rFonts w:ascii="Arial" w:hAnsi="Arial" w:cs="Arial"/>
                <w:sz w:val="20"/>
              </w:rPr>
              <w:t>&amp;</w:t>
            </w:r>
            <w:r w:rsidRPr="00677A9C">
              <w:rPr>
                <w:rFonts w:ascii="Arial" w:hAnsi="Arial" w:cs="Arial"/>
                <w:sz w:val="20"/>
              </w:rPr>
              <w:t xml:space="preserve"> Throat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Robert Hodge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Deputy Chair, Ear, Nose </w:t>
            </w:r>
            <w:r w:rsidR="00BB3045">
              <w:rPr>
                <w:rFonts w:ascii="Arial" w:hAnsi="Arial" w:cs="Arial"/>
                <w:sz w:val="20"/>
              </w:rPr>
              <w:t>&amp;</w:t>
            </w:r>
            <w:r w:rsidRPr="00677A9C">
              <w:rPr>
                <w:rFonts w:ascii="Arial" w:hAnsi="Arial" w:cs="Arial"/>
                <w:sz w:val="20"/>
              </w:rPr>
              <w:t xml:space="preserve"> Throat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DC6D8A" w:rsidP="00DC6D8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Robert (</w:t>
            </w:r>
            <w:r w:rsidR="00BA4114" w:rsidRPr="00677A9C">
              <w:rPr>
                <w:rFonts w:ascii="Arial" w:hAnsi="Arial" w:cs="Arial"/>
                <w:sz w:val="20"/>
              </w:rPr>
              <w:t>Paul</w:t>
            </w:r>
            <w:r w:rsidRPr="00677A9C">
              <w:rPr>
                <w:rFonts w:ascii="Arial" w:hAnsi="Arial" w:cs="Arial"/>
                <w:sz w:val="20"/>
              </w:rPr>
              <w:t>)</w:t>
            </w:r>
            <w:r w:rsidR="00DF7036" w:rsidRPr="00677A9C">
              <w:rPr>
                <w:rFonts w:ascii="Arial" w:hAnsi="Arial" w:cs="Arial"/>
                <w:sz w:val="20"/>
              </w:rPr>
              <w:t xml:space="preserve"> </w:t>
            </w:r>
            <w:r w:rsidR="00BA4114" w:rsidRPr="00677A9C">
              <w:rPr>
                <w:rFonts w:ascii="Arial" w:hAnsi="Arial" w:cs="Arial"/>
                <w:sz w:val="20"/>
              </w:rPr>
              <w:t>Allison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Member, Ear, Nose </w:t>
            </w:r>
            <w:r w:rsidR="00BB3045">
              <w:rPr>
                <w:rFonts w:ascii="Arial" w:hAnsi="Arial" w:cs="Arial"/>
                <w:sz w:val="20"/>
              </w:rPr>
              <w:t>&amp;</w:t>
            </w:r>
            <w:r w:rsidRPr="00677A9C">
              <w:rPr>
                <w:rFonts w:ascii="Arial" w:hAnsi="Arial" w:cs="Arial"/>
                <w:sz w:val="20"/>
              </w:rPr>
              <w:t xml:space="preserve"> Throat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William  Coman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459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Member, Ear, Nose </w:t>
            </w:r>
            <w:r w:rsidR="00BB3045">
              <w:rPr>
                <w:rFonts w:ascii="Arial" w:hAnsi="Arial" w:cs="Arial"/>
                <w:sz w:val="20"/>
              </w:rPr>
              <w:t>&amp;</w:t>
            </w:r>
            <w:r w:rsidRPr="00677A9C">
              <w:rPr>
                <w:rFonts w:ascii="Arial" w:hAnsi="Arial" w:cs="Arial"/>
                <w:sz w:val="20"/>
              </w:rPr>
              <w:t xml:space="preserve"> Throat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William Earnshaw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Member, Ear, Nose </w:t>
            </w:r>
            <w:r w:rsidR="00BB3045">
              <w:rPr>
                <w:rFonts w:ascii="Arial" w:hAnsi="Arial" w:cs="Arial"/>
                <w:sz w:val="20"/>
              </w:rPr>
              <w:t>&amp;</w:t>
            </w:r>
            <w:r w:rsidRPr="00677A9C">
              <w:rPr>
                <w:rFonts w:ascii="Arial" w:hAnsi="Arial" w:cs="Arial"/>
                <w:sz w:val="20"/>
              </w:rPr>
              <w:t xml:space="preserve"> Throat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Sharon Kelly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Member, Ear, Nose </w:t>
            </w:r>
            <w:r w:rsidR="00BB3045">
              <w:rPr>
                <w:rFonts w:ascii="Arial" w:hAnsi="Arial" w:cs="Arial"/>
                <w:sz w:val="20"/>
              </w:rPr>
              <w:t>&amp;</w:t>
            </w:r>
            <w:r w:rsidRPr="00677A9C">
              <w:rPr>
                <w:rFonts w:ascii="Arial" w:hAnsi="Arial" w:cs="Arial"/>
                <w:sz w:val="20"/>
              </w:rPr>
              <w:t xml:space="preserve"> Throat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BB3045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lastRenderedPageBreak/>
              <w:t>John Baker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spacing w:before="120"/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Chair,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Terence Coyne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DC6D8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Carolyn De Wytt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Eric Guazzo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Greg Ohlrich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Noel Saines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DC6D8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Rupert (Leigh) Atkinson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Cameron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Anthony Poulgrain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Alison Reid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Neurology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BB3045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Alan Hilton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spacing w:before="120"/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Chair, Ophthalmology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Cathryn Edrich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Ophthalmology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Kevin English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</w:t>
            </w:r>
            <w:r w:rsidRPr="00677A9C">
              <w:rPr>
                <w:rFonts w:ascii="Arial" w:hAnsi="Arial" w:cs="Arial"/>
                <w:b/>
                <w:sz w:val="20"/>
              </w:rPr>
              <w:t xml:space="preserve"> </w:t>
            </w:r>
            <w:r w:rsidRPr="00677A9C">
              <w:rPr>
                <w:rFonts w:ascii="Arial" w:hAnsi="Arial" w:cs="Arial"/>
                <w:sz w:val="20"/>
              </w:rPr>
              <w:t>Ophthalmology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Pyle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 xml:space="preserve">Member, Ophthalmology </w:t>
            </w:r>
          </w:p>
        </w:tc>
      </w:tr>
      <w:tr w:rsidR="00BA4114" w:rsidRPr="00955445" w:rsidTr="00383055">
        <w:trPr>
          <w:cantSplit/>
        </w:trPr>
        <w:tc>
          <w:tcPr>
            <w:tcW w:w="2238" w:type="dxa"/>
          </w:tcPr>
          <w:p w:rsidR="00BA4114" w:rsidRPr="00677A9C" w:rsidRDefault="00BA4114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Kevin Vandeleur</w:t>
            </w:r>
          </w:p>
        </w:tc>
        <w:tc>
          <w:tcPr>
            <w:tcW w:w="2443" w:type="dxa"/>
          </w:tcPr>
          <w:p w:rsidR="00BA4114" w:rsidRPr="00677A9C" w:rsidRDefault="00BA4114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Ophthalmology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BB3045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North</w:t>
            </w:r>
          </w:p>
        </w:tc>
        <w:tc>
          <w:tcPr>
            <w:tcW w:w="2443" w:type="dxa"/>
          </w:tcPr>
          <w:p w:rsidR="00251240" w:rsidRPr="00677A9C" w:rsidRDefault="00251240" w:rsidP="00BB3045">
            <w:pPr>
              <w:spacing w:before="120"/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Ross Boulton</w:t>
            </w:r>
          </w:p>
        </w:tc>
        <w:tc>
          <w:tcPr>
            <w:tcW w:w="2443" w:type="dxa"/>
          </w:tcPr>
          <w:p w:rsidR="00251240" w:rsidRPr="00677A9C" w:rsidRDefault="00251240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Stephen Coleman</w:t>
            </w:r>
          </w:p>
        </w:tc>
        <w:tc>
          <w:tcPr>
            <w:tcW w:w="2443" w:type="dxa"/>
          </w:tcPr>
          <w:p w:rsidR="00251240" w:rsidRPr="00677A9C" w:rsidRDefault="00251240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Ian Dickinson</w:t>
            </w:r>
          </w:p>
        </w:tc>
        <w:tc>
          <w:tcPr>
            <w:tcW w:w="2443" w:type="dxa"/>
          </w:tcPr>
          <w:p w:rsidR="00251240" w:rsidRPr="00677A9C" w:rsidRDefault="00251240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Dodsworth</w:t>
            </w:r>
          </w:p>
        </w:tc>
        <w:tc>
          <w:tcPr>
            <w:tcW w:w="2443" w:type="dxa"/>
          </w:tcPr>
          <w:p w:rsidR="00251240" w:rsidRPr="00677A9C" w:rsidRDefault="00251240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Fraser</w:t>
            </w:r>
          </w:p>
        </w:tc>
        <w:tc>
          <w:tcPr>
            <w:tcW w:w="2443" w:type="dxa"/>
          </w:tcPr>
          <w:p w:rsidR="00251240" w:rsidRPr="00677A9C" w:rsidRDefault="00251240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Robert Ivers</w:t>
            </w:r>
          </w:p>
        </w:tc>
        <w:tc>
          <w:tcPr>
            <w:tcW w:w="2443" w:type="dxa"/>
          </w:tcPr>
          <w:p w:rsidR="00251240" w:rsidRPr="00677A9C" w:rsidRDefault="00251240" w:rsidP="00BB3045">
            <w:pPr>
              <w:ind w:right="176"/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Edward Lewis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Ian McPhee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Paul Robinson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Peter Sharwood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Tuffley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David Walters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Walters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DC6D8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Philip Allen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Ashwell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Gregory Bookless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Peter Brazel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Philip Dalton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Glenn Davies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Gregory Day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Peter Dodd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Scott Fairbairn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Thomas Foote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Gregory Freeman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Price Gallie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Peter Hewitt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Michael Holt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Simon Journeaux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Anthony Keays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John Livingstone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Kelly MacGroarty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Peter McMeniman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David Ness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Gary Nielsen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Aneel Nihal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Gregory Nutting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DC6D8A" w:rsidP="00DC6D8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Howard (</w:t>
            </w:r>
            <w:r w:rsidR="00251240" w:rsidRPr="00677A9C">
              <w:rPr>
                <w:rFonts w:ascii="Arial" w:hAnsi="Arial" w:cs="Arial"/>
                <w:sz w:val="20"/>
              </w:rPr>
              <w:t>Kerry</w:t>
            </w:r>
            <w:r w:rsidRPr="00677A9C">
              <w:rPr>
                <w:rFonts w:ascii="Arial" w:hAnsi="Arial" w:cs="Arial"/>
                <w:sz w:val="20"/>
              </w:rPr>
              <w:t xml:space="preserve">) </w:t>
            </w:r>
            <w:r w:rsidR="00251240" w:rsidRPr="00677A9C">
              <w:rPr>
                <w:rFonts w:ascii="Arial" w:hAnsi="Arial" w:cs="Arial"/>
                <w:sz w:val="20"/>
              </w:rPr>
              <w:t>Outerbridge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Paul Pincus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Scott Sommerville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Peter Steadman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William Sugars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Warren Todd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Mark Welsh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Andrew Whittle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Anthony Wilson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Peter Winstanley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Leo Zeller</w:t>
            </w:r>
          </w:p>
        </w:tc>
        <w:tc>
          <w:tcPr>
            <w:tcW w:w="2443" w:type="dxa"/>
          </w:tcPr>
          <w:p w:rsidR="00251240" w:rsidRPr="00677A9C" w:rsidRDefault="00251240" w:rsidP="00251240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Deputy Chairperson,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Wojciech Janus</w:t>
            </w:r>
          </w:p>
        </w:tc>
        <w:tc>
          <w:tcPr>
            <w:tcW w:w="2443" w:type="dxa"/>
          </w:tcPr>
          <w:p w:rsidR="00251240" w:rsidRPr="00677A9C" w:rsidRDefault="00251240" w:rsidP="00765D65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Sanjay Joshi</w:t>
            </w:r>
          </w:p>
        </w:tc>
        <w:tc>
          <w:tcPr>
            <w:tcW w:w="2443" w:type="dxa"/>
          </w:tcPr>
          <w:p w:rsidR="00251240" w:rsidRPr="00677A9C" w:rsidRDefault="00251240" w:rsidP="00765D65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DC6D8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Lloyd (Doug) King</w:t>
            </w:r>
          </w:p>
        </w:tc>
        <w:tc>
          <w:tcPr>
            <w:tcW w:w="2443" w:type="dxa"/>
          </w:tcPr>
          <w:p w:rsidR="00251240" w:rsidRPr="00677A9C" w:rsidRDefault="00251240" w:rsidP="00765D65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Andrew Letchford</w:t>
            </w:r>
          </w:p>
        </w:tc>
        <w:tc>
          <w:tcPr>
            <w:tcW w:w="2443" w:type="dxa"/>
          </w:tcPr>
          <w:p w:rsidR="00251240" w:rsidRPr="00677A9C" w:rsidRDefault="00251240" w:rsidP="00765D65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Peter McCombe</w:t>
            </w:r>
          </w:p>
        </w:tc>
        <w:tc>
          <w:tcPr>
            <w:tcW w:w="2443" w:type="dxa"/>
          </w:tcPr>
          <w:p w:rsidR="00251240" w:rsidRPr="00677A9C" w:rsidRDefault="00251240" w:rsidP="00765D65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  <w:tr w:rsidR="00251240" w:rsidRPr="00955445" w:rsidTr="00383055">
        <w:trPr>
          <w:cantSplit/>
        </w:trPr>
        <w:tc>
          <w:tcPr>
            <w:tcW w:w="2238" w:type="dxa"/>
          </w:tcPr>
          <w:p w:rsidR="00251240" w:rsidRPr="00677A9C" w:rsidRDefault="00251240" w:rsidP="00765D6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David Shepherd</w:t>
            </w:r>
          </w:p>
        </w:tc>
        <w:tc>
          <w:tcPr>
            <w:tcW w:w="2443" w:type="dxa"/>
          </w:tcPr>
          <w:p w:rsidR="00251240" w:rsidRPr="00677A9C" w:rsidRDefault="00251240" w:rsidP="00765D65">
            <w:pPr>
              <w:rPr>
                <w:rFonts w:ascii="Arial" w:hAnsi="Arial" w:cs="Arial"/>
                <w:sz w:val="20"/>
              </w:rPr>
            </w:pPr>
            <w:r w:rsidRPr="00677A9C">
              <w:rPr>
                <w:rFonts w:ascii="Arial" w:hAnsi="Arial" w:cs="Arial"/>
                <w:sz w:val="20"/>
              </w:rPr>
              <w:t>Member, Orthopaedic</w:t>
            </w:r>
          </w:p>
        </w:tc>
      </w:tr>
    </w:tbl>
    <w:p w:rsidR="00372416" w:rsidRPr="00372416" w:rsidRDefault="00372416" w:rsidP="001674BE">
      <w:pPr>
        <w:spacing w:before="240"/>
        <w:jc w:val="both"/>
        <w:rPr>
          <w:rFonts w:ascii="Arial" w:hAnsi="Arial" w:cs="Arial"/>
          <w:sz w:val="22"/>
          <w:szCs w:val="22"/>
        </w:rPr>
      </w:pPr>
    </w:p>
    <w:sectPr w:rsidR="00372416" w:rsidRPr="00372416" w:rsidSect="00677A9C">
      <w:type w:val="continuous"/>
      <w:pgSz w:w="11906" w:h="16838"/>
      <w:pgMar w:top="1134" w:right="707" w:bottom="1134" w:left="1134" w:header="709" w:footer="709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C6" w:rsidRDefault="00B94FC6" w:rsidP="00D6589B">
      <w:r>
        <w:separator/>
      </w:r>
    </w:p>
  </w:endnote>
  <w:endnote w:type="continuationSeparator" w:id="0">
    <w:p w:rsidR="00B94FC6" w:rsidRDefault="00B94FC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45" w:rsidRDefault="00BB3045" w:rsidP="00BB30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4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C6" w:rsidRDefault="00B94FC6" w:rsidP="00D6589B">
      <w:r>
        <w:separator/>
      </w:r>
    </w:p>
  </w:footnote>
  <w:footnote w:type="continuationSeparator" w:id="0">
    <w:p w:rsidR="00B94FC6" w:rsidRDefault="00B94FC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4" w:rsidRPr="00937A4A" w:rsidRDefault="00BA4114" w:rsidP="00BA411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A4114" w:rsidRPr="00937A4A" w:rsidRDefault="00BA4114" w:rsidP="00BA411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A4114" w:rsidRPr="00937A4A" w:rsidRDefault="00BA4114" w:rsidP="00BA411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2016</w:t>
    </w:r>
  </w:p>
  <w:p w:rsidR="00BA4114" w:rsidRPr="00372416" w:rsidRDefault="00BA4114" w:rsidP="00BA4114">
    <w:pPr>
      <w:keepLines/>
      <w:spacing w:before="16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372416">
      <w:rPr>
        <w:rFonts w:ascii="Arial" w:hAnsi="Arial" w:cs="Arial"/>
        <w:b/>
        <w:color w:val="auto"/>
        <w:sz w:val="22"/>
        <w:szCs w:val="22"/>
        <w:u w:val="single"/>
      </w:rPr>
      <w:t xml:space="preserve">Appointment of members to the panel of doctors for designation to the composite and specialty medical assessment tribunals established under the </w:t>
    </w:r>
    <w:r w:rsidRPr="00372416">
      <w:rPr>
        <w:rFonts w:ascii="Arial" w:hAnsi="Arial" w:cs="Arial"/>
        <w:b/>
        <w:i/>
        <w:color w:val="auto"/>
        <w:sz w:val="22"/>
        <w:szCs w:val="22"/>
        <w:u w:val="single"/>
      </w:rPr>
      <w:t>Workers’ Compensation and Rehabilitation Act 2003</w:t>
    </w:r>
  </w:p>
  <w:p w:rsidR="00BA4114" w:rsidRDefault="00BA4114" w:rsidP="00BA4114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:rsidR="00BA4114" w:rsidRDefault="00BA4114" w:rsidP="00C56DB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7AE8"/>
    <w:rsid w:val="000524F2"/>
    <w:rsid w:val="00080F8F"/>
    <w:rsid w:val="00081486"/>
    <w:rsid w:val="0010384C"/>
    <w:rsid w:val="001430CA"/>
    <w:rsid w:val="001512FE"/>
    <w:rsid w:val="001674BE"/>
    <w:rsid w:val="00174117"/>
    <w:rsid w:val="001D02DF"/>
    <w:rsid w:val="001D086F"/>
    <w:rsid w:val="00214B0B"/>
    <w:rsid w:val="00251240"/>
    <w:rsid w:val="00356DF6"/>
    <w:rsid w:val="003655E0"/>
    <w:rsid w:val="00372416"/>
    <w:rsid w:val="00383055"/>
    <w:rsid w:val="00396F0D"/>
    <w:rsid w:val="003B4E6D"/>
    <w:rsid w:val="003B7ACB"/>
    <w:rsid w:val="0043709A"/>
    <w:rsid w:val="004B1EAA"/>
    <w:rsid w:val="004B2AF8"/>
    <w:rsid w:val="00501C66"/>
    <w:rsid w:val="00540AC3"/>
    <w:rsid w:val="00550873"/>
    <w:rsid w:val="005674FE"/>
    <w:rsid w:val="0059564F"/>
    <w:rsid w:val="00651AA3"/>
    <w:rsid w:val="00677A9C"/>
    <w:rsid w:val="006D40ED"/>
    <w:rsid w:val="0071575E"/>
    <w:rsid w:val="00725877"/>
    <w:rsid w:val="007265D0"/>
    <w:rsid w:val="00732E22"/>
    <w:rsid w:val="00741C20"/>
    <w:rsid w:val="00765D65"/>
    <w:rsid w:val="00904077"/>
    <w:rsid w:val="00937A4A"/>
    <w:rsid w:val="00945402"/>
    <w:rsid w:val="009A2B87"/>
    <w:rsid w:val="009B15D3"/>
    <w:rsid w:val="00A57D7C"/>
    <w:rsid w:val="00A71F4C"/>
    <w:rsid w:val="00B54546"/>
    <w:rsid w:val="00B77707"/>
    <w:rsid w:val="00B94FC6"/>
    <w:rsid w:val="00BA4114"/>
    <w:rsid w:val="00BB3045"/>
    <w:rsid w:val="00BC4447"/>
    <w:rsid w:val="00C355FD"/>
    <w:rsid w:val="00C56DBB"/>
    <w:rsid w:val="00C75E67"/>
    <w:rsid w:val="00C85DF6"/>
    <w:rsid w:val="00CB1501"/>
    <w:rsid w:val="00CB3C35"/>
    <w:rsid w:val="00CD6F5E"/>
    <w:rsid w:val="00CD7A50"/>
    <w:rsid w:val="00CE72FE"/>
    <w:rsid w:val="00CF0D8A"/>
    <w:rsid w:val="00D1740E"/>
    <w:rsid w:val="00D315D1"/>
    <w:rsid w:val="00D6589B"/>
    <w:rsid w:val="00D766EC"/>
    <w:rsid w:val="00DC6D8A"/>
    <w:rsid w:val="00DF1FDE"/>
    <w:rsid w:val="00DF7036"/>
    <w:rsid w:val="00EA488B"/>
    <w:rsid w:val="00F13DBE"/>
    <w:rsid w:val="00F907A2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F5695-2F84-4C27-8EF6-08AEAE6887DC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34C769-CC3C-46A8-A0A8-D27A08BE6E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76107-7CA2-486F-AA03-0FC657389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5B1AC-70F5-49F2-BAAF-60321C0309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A9C8B6-304A-4552-B989-FF109C4BF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2</Pages>
  <Words>642</Words>
  <Characters>4238</Characters>
  <Application>Microsoft Office Word</Application>
  <DocSecurity>0</DocSecurity>
  <Lines>254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4785</CharactersWithSpaces>
  <SharedDoc>false</SharedDoc>
  <HyperlinkBase>https://www.cabinet.qld.gov.au/documents/2016/Jun/ApptWCPanel/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2017-02-08T06:35:00Z</cp:lastPrinted>
  <dcterms:created xsi:type="dcterms:W3CDTF">2017-10-25T01:49:00Z</dcterms:created>
  <dcterms:modified xsi:type="dcterms:W3CDTF">2018-03-06T01:36:00Z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BUSNCLLO-74-68</vt:lpwstr>
  </property>
  <property fmtid="{D5CDD505-2E9C-101B-9397-08002B2CF9AE}" pid="4" name="_dlc_DocIdItemGuid">
    <vt:lpwstr>567bf1c6-c247-4cda-857d-a74649c24538</vt:lpwstr>
  </property>
  <property fmtid="{D5CDD505-2E9C-101B-9397-08002B2CF9AE}" pid="5" name="_dlc_DocIdUrl">
    <vt:lpwstr>https://nexus.treasury.qld.gov.au/business/cabinet-services/dpc-reporting/_layouts/15/DocIdRedir.aspx?ID=BUSNCLLO-74-68, BUSNCLLO-74-68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{95ee723f-7e30-47a4-b556-fd4bfa065a81}</vt:lpwstr>
  </property>
  <property fmtid="{D5CDD505-2E9C-101B-9397-08002B2CF9AE}" pid="9" name="RecordPoint_ActiveItemUniqueId">
    <vt:lpwstr>{567bf1c6-c247-4cda-857d-a74649c24538}</vt:lpwstr>
  </property>
  <property fmtid="{D5CDD505-2E9C-101B-9397-08002B2CF9AE}" pid="10" name="RecordPoint_ActiveItemWebId">
    <vt:lpwstr>{91bdefb8-0d65-4ccd-aa84-73bfa87f031c}</vt:lpwstr>
  </property>
  <property fmtid="{D5CDD505-2E9C-101B-9397-08002B2CF9AE}" pid="11" name="RecordPoint_SubmissionCompleted">
    <vt:lpwstr>2017-02-08T19:14:10.1413960+10:00</vt:lpwstr>
  </property>
  <property fmtid="{D5CDD505-2E9C-101B-9397-08002B2CF9AE}" pid="12" name="RecordPoint_RecordNumberSubmitted">
    <vt:lpwstr>R0000374075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ContentTypeId">
    <vt:lpwstr>0x010100C7BD08439FA548A39DD6F4EEA9A4DD920028A0CA45A385418C914557FFC286F13E004EB8CA558F2C6042A832EDA2471880AF</vt:lpwstr>
  </property>
</Properties>
</file>